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04" w:rsidRDefault="00E8790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87904" w:rsidRDefault="00E87904">
      <w:pPr>
        <w:pStyle w:val="ConsPlusTitle"/>
        <w:jc w:val="center"/>
      </w:pPr>
      <w:r>
        <w:t>РОССИЙСКОЙ ФЕДЕРАЦИИ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right"/>
      </w:pPr>
      <w:r>
        <w:t>Утверждаю</w:t>
      </w:r>
    </w:p>
    <w:p w:rsidR="00E87904" w:rsidRDefault="00E87904">
      <w:pPr>
        <w:pStyle w:val="ConsPlusNormal"/>
        <w:jc w:val="right"/>
      </w:pPr>
      <w:r>
        <w:t>Руководитель Федеральной службы</w:t>
      </w:r>
    </w:p>
    <w:p w:rsidR="00E87904" w:rsidRDefault="00E87904">
      <w:pPr>
        <w:pStyle w:val="ConsPlusNormal"/>
        <w:jc w:val="right"/>
      </w:pPr>
      <w:r>
        <w:t>по надзору в сфере защиты прав</w:t>
      </w:r>
    </w:p>
    <w:p w:rsidR="00E87904" w:rsidRDefault="00E87904">
      <w:pPr>
        <w:pStyle w:val="ConsPlusNormal"/>
        <w:jc w:val="right"/>
      </w:pPr>
      <w:r>
        <w:t>потребителей и благополучия человека -</w:t>
      </w:r>
    </w:p>
    <w:p w:rsidR="00E87904" w:rsidRDefault="00E87904">
      <w:pPr>
        <w:pStyle w:val="ConsPlusNormal"/>
        <w:jc w:val="right"/>
      </w:pPr>
      <w:r>
        <w:t>Главный государственный санитарный</w:t>
      </w:r>
    </w:p>
    <w:p w:rsidR="00E87904" w:rsidRDefault="00E87904">
      <w:pPr>
        <w:pStyle w:val="ConsPlusNormal"/>
        <w:jc w:val="right"/>
      </w:pPr>
      <w:r>
        <w:t>врач Российской Федерации</w:t>
      </w:r>
    </w:p>
    <w:p w:rsidR="00E87904" w:rsidRDefault="00E87904">
      <w:pPr>
        <w:pStyle w:val="ConsPlusNormal"/>
        <w:jc w:val="right"/>
      </w:pPr>
      <w:r>
        <w:t>А.Ю.ПОПОВА</w:t>
      </w:r>
    </w:p>
    <w:p w:rsidR="00E87904" w:rsidRDefault="00E87904">
      <w:pPr>
        <w:pStyle w:val="ConsPlusNormal"/>
        <w:jc w:val="right"/>
      </w:pPr>
      <w:r>
        <w:t>10 августа 2018 г.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</w:pPr>
      <w:r>
        <w:t>2.4.5. ГИГИЕНА ДЕТЕЙ И ПОДРОСТКОВ. ДЕТСКОЕ ПИТАНИЕ</w:t>
      </w:r>
    </w:p>
    <w:p w:rsidR="00E87904" w:rsidRDefault="00E87904">
      <w:pPr>
        <w:pStyle w:val="ConsPlusTitle"/>
        <w:jc w:val="center"/>
      </w:pPr>
    </w:p>
    <w:p w:rsidR="00E87904" w:rsidRDefault="00E87904">
      <w:pPr>
        <w:pStyle w:val="ConsPlusTitle"/>
        <w:jc w:val="center"/>
      </w:pPr>
      <w:r>
        <w:t>ПРАКТИЧЕСКИЕ АСПЕКТЫ</w:t>
      </w:r>
    </w:p>
    <w:p w:rsidR="00E87904" w:rsidRDefault="00E87904">
      <w:pPr>
        <w:pStyle w:val="ConsPlusTitle"/>
        <w:jc w:val="center"/>
      </w:pPr>
      <w:r>
        <w:t>ОРГАНИЗАЦИИ РАЦИОНАЛЬНОГО ПИТАНИЯ ДЕТЕЙ И ПОДРОСТКОВ,</w:t>
      </w:r>
    </w:p>
    <w:p w:rsidR="00E87904" w:rsidRDefault="00E87904">
      <w:pPr>
        <w:pStyle w:val="ConsPlusTitle"/>
        <w:jc w:val="center"/>
      </w:pPr>
      <w:r>
        <w:t>ОРГАНИЗАЦИЯ МОНИТОРИНГА ПИТАНИЯ</w:t>
      </w:r>
    </w:p>
    <w:p w:rsidR="00E87904" w:rsidRDefault="00E87904">
      <w:pPr>
        <w:pStyle w:val="ConsPlusTitle"/>
        <w:jc w:val="center"/>
      </w:pPr>
    </w:p>
    <w:p w:rsidR="00E87904" w:rsidRDefault="00E87904">
      <w:pPr>
        <w:pStyle w:val="ConsPlusTitle"/>
        <w:jc w:val="center"/>
      </w:pPr>
      <w:r>
        <w:t>МЕТОДИЧЕСКИЕ РЕКОМЕНДАЦИИ</w:t>
      </w:r>
    </w:p>
    <w:p w:rsidR="00E87904" w:rsidRDefault="00E87904">
      <w:pPr>
        <w:pStyle w:val="ConsPlusTitle"/>
        <w:jc w:val="center"/>
      </w:pPr>
      <w:bookmarkStart w:id="0" w:name="_GoBack"/>
      <w:r>
        <w:t>МР 2.4.5.0131-18</w:t>
      </w:r>
    </w:p>
    <w:bookmarkEnd w:id="0"/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 xml:space="preserve">1. Разработаны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В.Н. Михеев, П.А. </w:t>
      </w:r>
      <w:proofErr w:type="spellStart"/>
      <w:r>
        <w:t>Вейних</w:t>
      </w:r>
      <w:proofErr w:type="spellEnd"/>
      <w:r>
        <w:t xml:space="preserve">, И.П. </w:t>
      </w:r>
      <w:proofErr w:type="spellStart"/>
      <w:r>
        <w:t>Флянку</w:t>
      </w:r>
      <w:proofErr w:type="spellEnd"/>
      <w:r>
        <w:t xml:space="preserve">, О.В. </w:t>
      </w:r>
      <w:proofErr w:type="spellStart"/>
      <w:r>
        <w:t>Толкунова</w:t>
      </w:r>
      <w:proofErr w:type="spellEnd"/>
      <w:r>
        <w:t xml:space="preserve">); Управление </w:t>
      </w:r>
      <w:proofErr w:type="spellStart"/>
      <w:r>
        <w:t>Роспотребнадзора</w:t>
      </w:r>
      <w:proofErr w:type="spellEnd"/>
      <w:r>
        <w:t xml:space="preserve"> в Омской области (А.С. </w:t>
      </w:r>
      <w:proofErr w:type="spellStart"/>
      <w:r>
        <w:t>Крига</w:t>
      </w:r>
      <w:proofErr w:type="spellEnd"/>
      <w:r>
        <w:t>, М.Н. Бойко, Ю.В. Меньшикова); Министерство здравоохранения Омской области (А.Е. Стороженко).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А.Ю. Поповой 10.08.2018.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3. Введены впервые.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1.1. Настоящие методические рекомендации (далее - МР) направлены на улучшение организации питания детей и подростков в организованных детских коллективах.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1.2. МР могут быть использованы органами и организациями </w:t>
      </w:r>
      <w:proofErr w:type="spellStart"/>
      <w:r>
        <w:t>Роспотребнадзора</w:t>
      </w:r>
      <w:proofErr w:type="spellEnd"/>
      <w:r>
        <w:t xml:space="preserve">, региональными органами управления образованием, образовательными и оздоровительными организациями для детей и </w:t>
      </w:r>
      <w:r>
        <w:lastRenderedPageBreak/>
        <w:t>подростков, организациями по уходу и присмотру за детьми, высшими учебными заведениями медицинского и педагогического профиля.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II. Рекомендации по разработке меню и режиму питания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2.1. Меню рекомендуется составлять не менее чем на 2 недели.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Меню должно учитывать физиологическую потребность организма в энергии и пищевых веществах, а также фактические </w:t>
      </w:r>
      <w:proofErr w:type="spellStart"/>
      <w:r>
        <w:t>энерготраты</w:t>
      </w:r>
      <w:proofErr w:type="spellEnd"/>
      <w:r>
        <w:t xml:space="preserve"> ребенка; быть разнообразным, безопасным и сбалансированным; включать продукты для детского питания, обогащенные витаминами, минералами, </w:t>
      </w:r>
      <w:proofErr w:type="spellStart"/>
      <w:r>
        <w:t>бифидобактериями</w:t>
      </w:r>
      <w:proofErr w:type="spellEnd"/>
      <w:r>
        <w:t xml:space="preserve">; содержать блюда в </w:t>
      </w:r>
      <w:proofErr w:type="gramStart"/>
      <w:r>
        <w:t>технологии</w:t>
      </w:r>
      <w:proofErr w:type="gramEnd"/>
      <w:r>
        <w:t xml:space="preserve"> приготовления которых использовались щадящие способы кулинарной обработки, обеспечивающие сохранение вкусовых качеств, предусматривать возможность организации питания детей с учетом медицинских показаний.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Допускается включение в меню блюд, в </w:t>
      </w:r>
      <w:proofErr w:type="gramStart"/>
      <w:r>
        <w:t>технологии</w:t>
      </w:r>
      <w:proofErr w:type="gramEnd"/>
      <w:r>
        <w:t xml:space="preserve"> приготовления которых предусматривается введение пищевых добавок, разрешенных в установленном порядке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>].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В меню не должны допускаться повторения одних и тех же блюд или кулинарных изделий в один и тот же день или в смежные дни.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С целью обеспечения полноценности питания на этапе разработки меню рекомендуется составлять прогнозную накопительную ведомость рациона питания на цикл. При этом колебания среднесуточных показателей, поступающих с рационом питания продуктов по каждой группе, не должны быть ниже рекомендуемого уровня более чем на 5% в пересчете на нетто (</w:t>
      </w:r>
      <w:hyperlink w:anchor="P98" w:history="1">
        <w:r>
          <w:rPr>
            <w:color w:val="0000FF"/>
          </w:rPr>
          <w:t>приложение 1</w:t>
        </w:r>
      </w:hyperlink>
      <w:r>
        <w:t xml:space="preserve"> к методическим рекомендациям).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Организация питания детей в организованных коллективах регламентируется санитарно-эпидемиологическими требованиями, в которых в том числе, приведены среднесуточные наборы пищевых продуктов для детей различных возрастных групп. Соблюдение санитарно-эпидемиологических требований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Рекомендуемые среднесуточные наборы пищевых продуктов для детей различных возрастных групп распределены по приемам пищи в </w:t>
      </w:r>
      <w:hyperlink w:anchor="P98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1</w:t>
        </w:r>
      </w:hyperlink>
      <w:r>
        <w:t xml:space="preserve"> к методическим рекомендациям.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При построении меню необходимо учитывать режим работы организации, требования действующих нормативных документов, определяющих рекомендуемое распределение энергетической ценности (калорийности) суточного рациона по отдельным приемам пищи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 На завтрак должно приходиться 20 - 25% от суточной калорийности рациона, обед - 30 - 35%, полдник - 10 - 15%, ужин - 20 - 25%, второй ужин - 5%. В промежутке между завтраком и обедом может быть организован второй завтрак, включающий выдачу напитка или свежих фруктов.</w:t>
      </w:r>
    </w:p>
    <w:p w:rsidR="00E87904" w:rsidRDefault="00E87904">
      <w:pPr>
        <w:pStyle w:val="ConsPlusNormal"/>
        <w:spacing w:before="280"/>
        <w:ind w:firstLine="540"/>
        <w:jc w:val="both"/>
      </w:pPr>
      <w:proofErr w:type="gramStart"/>
      <w:r>
        <w:t>В примерном меню содержание белков должно обеспечивать 12 - 15%) от калорийности рациона, жиров 30 - 32% и углеводов 55 - 58%. При составлении меню следует учитывать национальные и территориальные особенности питания населения и состояние здоровья детей.</w:t>
      </w:r>
      <w:proofErr w:type="gramEnd"/>
    </w:p>
    <w:p w:rsidR="00E87904" w:rsidRDefault="00E87904">
      <w:pPr>
        <w:pStyle w:val="ConsPlusNormal"/>
        <w:spacing w:before="280"/>
        <w:ind w:firstLine="540"/>
        <w:jc w:val="both"/>
      </w:pPr>
      <w:r>
        <w:t>На все блюда, указанные в меню, необходимо иметь технологические карты.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Технологические карты составляются на основании рецептурных сборников, рекомендованных для детского питания. Технологические карты должны быть точными копиями первоисточника, какие-либо пересчеты норм внесения продуктов с учетом объема выдаваемых порций в технологической карте проводиться не должны. Рекомендуется оформлять приложения к технологической карте с учетом фактического выхода блюда и возрастных групп питающихся.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Наименования блюд и кулинарных изделий, указываемых в меню, должны соответствовать их наименованиям в сборниках рецептур.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2.2. Завтрак может состоять из горячего блюда (каша, запеканка, творожные или яичные блюда и др.), бутерброда и горячего напитка.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Второй завтрак может включать десерт (фрукт, сок).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Обед может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напиток, сок и др.).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Ужин может включать рыбные, мясные, овощные и творожные блюда, салаты и горячие напитки.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lastRenderedPageBreak/>
        <w:t>На второй ужин рекомендуется выдавать кисломолочные напитки.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2.3. Ежедневное меню рекомендуется вывешивать в столовой и (или) групповой ячейке.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2.4. Наряду с основным питанием в общеобразовательных учреждениях возможна организация дополнительного питания.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С целью выработки у школьников навыков здорового питания в ассортимент дополнительного питания рекомендуется включение первых блюд (1 - 2 наименования), вторых блюд (1 - 2 наименования), салатов (1 - 2 наименования), напитков (1 - 2 наименования) и выпечных изделий.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2.5. Установка </w:t>
      </w:r>
      <w:proofErr w:type="spellStart"/>
      <w:r>
        <w:t>вейдинговых</w:t>
      </w:r>
      <w:proofErr w:type="spellEnd"/>
      <w:r>
        <w:t xml:space="preserve"> аппаратов в образовательных организациях может быть использована как вариант организации дополнительного питания. При этом</w:t>
      </w:r>
      <w:proofErr w:type="gramStart"/>
      <w:r>
        <w:t>,</w:t>
      </w:r>
      <w:proofErr w:type="gramEnd"/>
      <w:r>
        <w:t xml:space="preserve"> через аппараты для автоматической выдачи пищевых продуктов в потребительской упаковке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их хранения и сроков реализации.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2.6. Выдача детям кислородных коктейлей может осуществляться только по назначению врача-педиатра медицинским работником образовательной (оздоровительной) организации и при наличии необходимых условий для приготовления коктейлей. На выдаваемый детям кислородный коктейль должна иметься технологическая карта. В составе кислородных коктейлей в качестве пенообразователя не должны использоваться сырые яйца, а также пенообразователи на спиртовой основе.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III. Рекомендации по расчету калорийности меню с учетом</w:t>
      </w:r>
    </w:p>
    <w:p w:rsidR="00E87904" w:rsidRDefault="00E87904">
      <w:pPr>
        <w:pStyle w:val="ConsPlusTitle"/>
        <w:jc w:val="center"/>
      </w:pPr>
      <w:r>
        <w:t>фактической двигательной активности детей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3.1. Для определения более точных цифр требуемой калорийности рациона при построении меню рекомендуется в организованном коллективе проводить предварительную оценку фактической двигательной активности детей и подростков с учетом режима дня и реализуемых в учреждении образовательных и спортивных программ.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Для оценки двигательной активности необходимо заполнить карты самоотчета на выборочную группу детей и подсчитать суммарное время, затраченное на каждую из категорий двигательной активности (</w:t>
      </w:r>
      <w:hyperlink w:anchor="P2180" w:history="1">
        <w:r>
          <w:rPr>
            <w:color w:val="0000FF"/>
          </w:rPr>
          <w:t>приложение 2</w:t>
        </w:r>
      </w:hyperlink>
      <w:r>
        <w:t xml:space="preserve"> к методическим рекомендациям).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Для определения </w:t>
      </w:r>
      <w:proofErr w:type="spellStart"/>
      <w:r>
        <w:t>энерготрат</w:t>
      </w:r>
      <w:proofErr w:type="spellEnd"/>
      <w:r>
        <w:t xml:space="preserve"> на каждую категорию двигательной активности (в </w:t>
      </w:r>
      <w:proofErr w:type="gramStart"/>
      <w:r>
        <w:t>ккал</w:t>
      </w:r>
      <w:proofErr w:type="gramEnd"/>
      <w:r>
        <w:t xml:space="preserve">/кг) показатели продолжительности времени, затраченного на каждую из категорий двигательной активности, умножаются на </w:t>
      </w:r>
      <w:r>
        <w:lastRenderedPageBreak/>
        <w:t>соответствующий ей метаболический коэффициент.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Показатель </w:t>
      </w:r>
      <w:proofErr w:type="spellStart"/>
      <w:r>
        <w:t>фактическихэнерготрат</w:t>
      </w:r>
      <w:proofErr w:type="spellEnd"/>
      <w:r>
        <w:t xml:space="preserve"> определяется посредством суммации </w:t>
      </w:r>
      <w:proofErr w:type="spellStart"/>
      <w:r>
        <w:t>энерготрат</w:t>
      </w:r>
      <w:proofErr w:type="spellEnd"/>
      <w:r>
        <w:t xml:space="preserve"> по всем категориям двигательной активности.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С целью </w:t>
      </w:r>
      <w:proofErr w:type="gramStart"/>
      <w:r>
        <w:t>оценки соответствия калорийности рациона питания</w:t>
      </w:r>
      <w:proofErr w:type="gramEnd"/>
      <w:r>
        <w:t xml:space="preserve"> фактическим </w:t>
      </w:r>
      <w:proofErr w:type="spellStart"/>
      <w:r>
        <w:t>энерготратам</w:t>
      </w:r>
      <w:proofErr w:type="spellEnd"/>
      <w:r>
        <w:t xml:space="preserve"> ребенка, рекомендуется полученный показатель </w:t>
      </w:r>
      <w:proofErr w:type="spellStart"/>
      <w:r>
        <w:t>энерготрат</w:t>
      </w:r>
      <w:proofErr w:type="spellEnd"/>
      <w:r>
        <w:t xml:space="preserve"> (ккал/кг/сутки) умножать на массу тела и определять суммарные </w:t>
      </w:r>
      <w:proofErr w:type="spellStart"/>
      <w:r>
        <w:t>энерготраты</w:t>
      </w:r>
      <w:proofErr w:type="spellEnd"/>
      <w:r>
        <w:t xml:space="preserve"> ребенка (ккал/сутки). Далее возможно руководствоваться полученными данными для построения цикличного меню.</w:t>
      </w:r>
    </w:p>
    <w:p w:rsidR="00E87904" w:rsidRDefault="00E87904">
      <w:pPr>
        <w:pStyle w:val="ConsPlusNormal"/>
        <w:jc w:val="both"/>
      </w:pPr>
    </w:p>
    <w:p w:rsidR="00E87904" w:rsidRDefault="00602C76">
      <w:pPr>
        <w:pStyle w:val="ConsPlusNormal"/>
        <w:jc w:val="center"/>
      </w:pPr>
      <w:r w:rsidRPr="005F5C10">
        <w:rPr>
          <w:position w:val="-268"/>
        </w:rPr>
        <w:pict>
          <v:shape id="_x0000_i1025" style="width:467.7pt;height:282.8pt" coordsize="" o:spt="100" adj="0,,0" path="" filled="f" stroked="f">
            <v:stroke joinstyle="miter"/>
            <v:imagedata r:id="rId4" o:title="base_1_317967_32768"/>
            <v:formulas/>
            <v:path o:connecttype="segments"/>
          </v:shape>
        </w:pic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center"/>
      </w:pPr>
      <w:bookmarkStart w:id="1" w:name="P69"/>
      <w:bookmarkEnd w:id="1"/>
      <w:r>
        <w:t>Рисунок 1. Сравнительная характеристика соответствия</w:t>
      </w:r>
    </w:p>
    <w:p w:rsidR="00E87904" w:rsidRDefault="00E87904">
      <w:pPr>
        <w:pStyle w:val="ConsPlusNormal"/>
        <w:jc w:val="center"/>
      </w:pPr>
      <w:r>
        <w:t xml:space="preserve">калорийности питания и </w:t>
      </w:r>
      <w:proofErr w:type="spellStart"/>
      <w:r>
        <w:t>фактическихэнерготрат</w:t>
      </w:r>
      <w:proofErr w:type="spellEnd"/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 xml:space="preserve">3.2. В качестве примера приводятся данные оценки циклического меню и фактических </w:t>
      </w:r>
      <w:proofErr w:type="spellStart"/>
      <w:r>
        <w:t>энерготрат</w:t>
      </w:r>
      <w:proofErr w:type="spellEnd"/>
      <w:r>
        <w:t xml:space="preserve"> детей в оздоровительной организации для детей и подростков с круглосуточным режимом пребывания </w:t>
      </w:r>
      <w:hyperlink w:anchor="P69" w:history="1">
        <w:r>
          <w:rPr>
            <w:color w:val="0000FF"/>
          </w:rPr>
          <w:t>(рисунок 1)</w:t>
        </w:r>
      </w:hyperlink>
      <w:r>
        <w:t xml:space="preserve">. При оценке цикличного меню было установлено, что меню - разнообразное, 5-разовое; объемы порций соответствуют рекомендованным количественным показателям, регламентированным санитарно-эпидемиологическими требованиями </w:t>
      </w:r>
      <w:hyperlink w:anchor="P2285" w:history="1">
        <w:r>
          <w:rPr>
            <w:color w:val="0000FF"/>
          </w:rPr>
          <w:t>[16]</w:t>
        </w:r>
      </w:hyperlink>
      <w:r>
        <w:t xml:space="preserve">. Вместе с тем, калорийность питания - ниже фактических </w:t>
      </w:r>
      <w:proofErr w:type="spellStart"/>
      <w:r>
        <w:t>энерготрат</w:t>
      </w:r>
      <w:proofErr w:type="spellEnd"/>
      <w:r>
        <w:t xml:space="preserve"> детей старших возрастных групп в 9, 10, 12, 15, 18, 19 и 21 дни, что свидетельствует о необходимости увеличения основного рациона питания для данной возрастной группы. В остальные дни энергетическая ценность рациона питания соответствовала </w:t>
      </w:r>
      <w:proofErr w:type="spellStart"/>
      <w:r>
        <w:t>фактическимэнерготратам</w:t>
      </w:r>
      <w:proofErr w:type="spellEnd"/>
      <w:r>
        <w:t xml:space="preserve"> детей, либо превышала их </w:t>
      </w:r>
      <w:hyperlink w:anchor="P69" w:history="1">
        <w:r>
          <w:rPr>
            <w:color w:val="0000FF"/>
          </w:rPr>
          <w:t>(рисунок 1)</w:t>
        </w:r>
      </w:hyperlink>
      <w:r>
        <w:t>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IV. Рекомендации по организации мониторинга за питанием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4.1. Мониторинг питания в образовательной (оздоровительной) организации должен осуществляться ежедневно с составлением отчета не реже одного раза в учебную четверть для общеобразовательных организаций и не реже одного раза в квартал для организаций дошкольного образования, для оздоровительных организаций - ежедневно, с отчетом по итогам смены.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4.2. Сбор информации об организации питания в дошкольных организациях, общеобразовательных организациях, организациях отдыха и оздоровления детей предусматривает учет первичных данных в соответствии с </w:t>
      </w:r>
      <w:hyperlink w:anchor="P2206" w:history="1">
        <w:r>
          <w:rPr>
            <w:color w:val="0000FF"/>
          </w:rPr>
          <w:t>приложением 3</w:t>
        </w:r>
      </w:hyperlink>
      <w:r>
        <w:t xml:space="preserve"> к методическим рекомендациям.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4.3. </w:t>
      </w:r>
      <w:proofErr w:type="gramStart"/>
      <w:r>
        <w:t>В качестве основных расчетных показателей для оценки охвата школьников горячим питанием определяются следующие:</w:t>
      </w:r>
      <w:proofErr w:type="gramEnd"/>
    </w:p>
    <w:p w:rsidR="00E87904" w:rsidRDefault="00E87904">
      <w:pPr>
        <w:pStyle w:val="ConsPlusNormal"/>
        <w:spacing w:before="280"/>
        <w:ind w:firstLine="540"/>
        <w:jc w:val="both"/>
      </w:pPr>
      <w:r>
        <w:t>- удельный вес школьников, охваченных горячим питанием, в том числе,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удельный вес школьников, охваченных горячими завтраками, в том числе,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удельный вес школьников, охваченных обедами, в том числе,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- удельный вес школьников, охваченных </w:t>
      </w:r>
      <w:proofErr w:type="gramStart"/>
      <w:r>
        <w:t>двух-трехразовым</w:t>
      </w:r>
      <w:proofErr w:type="gramEnd"/>
      <w:r>
        <w:t xml:space="preserve"> питанием (от всех школьников), в том числе,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- удельный вес школьников, охваченных </w:t>
      </w:r>
      <w:proofErr w:type="gramStart"/>
      <w:r>
        <w:t>двух-трехразовым</w:t>
      </w:r>
      <w:proofErr w:type="gramEnd"/>
      <w:r>
        <w:t xml:space="preserve"> питанием (от школьников, нуждающихся в двух-трехразовом питании), в том числе,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удельный вес школьников, получающих дотации на питание;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стоимость школьного завтрака, обеда, полдника (</w:t>
      </w:r>
      <w:proofErr w:type="spellStart"/>
      <w:r>
        <w:t>руб</w:t>
      </w:r>
      <w:proofErr w:type="spellEnd"/>
      <w:r>
        <w:t>/день);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размер дотации на питание (</w:t>
      </w:r>
      <w:proofErr w:type="spellStart"/>
      <w:r>
        <w:t>руб</w:t>
      </w:r>
      <w:proofErr w:type="spellEnd"/>
      <w:r>
        <w:t>/день).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Учет и анализ результатов контрольно-надзорных мероприятий для оценки организации питания в общеобразовательных организациях и дошкольных образовательных организациях, организациях отдыха и оздоровления детей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в соответствии с </w:t>
      </w:r>
      <w:hyperlink w:anchor="P2243" w:history="1">
        <w:r>
          <w:rPr>
            <w:color w:val="0000FF"/>
          </w:rPr>
          <w:t>приложением 4</w:t>
        </w:r>
      </w:hyperlink>
      <w:r>
        <w:t xml:space="preserve"> к методическим рекомендациям.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lastRenderedPageBreak/>
        <w:t>За отчетный период (учебная четверть, квартал, смена) определяются: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- показатели выполнения норм питания в процентах и отклонения (занижения) от нормативов в процентах от нормативного уровня в соответствии с </w:t>
      </w:r>
      <w:hyperlink w:anchor="P98" w:history="1">
        <w:r>
          <w:rPr>
            <w:color w:val="0000FF"/>
          </w:rPr>
          <w:t>приложением 1</w:t>
        </w:r>
      </w:hyperlink>
      <w:r>
        <w:t xml:space="preserve"> к методическим рекомендациям;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общее количество выявленных нарушений в ходе контрольно-надзорных мероприятий и составленных протоколов за выявленные нарушения.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Детально рекомендуется учитывать количество нарушений, выявленных к сопроводительной документации, условиям хранения и срокам реализации продуктов, наличия в реализации запрещенных продуктов и блюд, подтвердившиеся жалобы на организацию питания.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4.4. Результаты мониторинга рекомендуется использовать для реализации мероприятий по улучшению организации питания детей, сохранению и укреплению их здоровья.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right"/>
        <w:outlineLvl w:val="0"/>
      </w:pPr>
      <w:bookmarkStart w:id="2" w:name="P98"/>
      <w:bookmarkEnd w:id="2"/>
      <w:r>
        <w:t>Приложение 1</w:t>
      </w:r>
    </w:p>
    <w:p w:rsidR="00E87904" w:rsidRDefault="00E87904">
      <w:pPr>
        <w:pStyle w:val="ConsPlusNormal"/>
        <w:jc w:val="right"/>
      </w:pPr>
      <w:r>
        <w:t>к МР 2.4.5.0131-18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Примерные наборы</w:t>
      </w:r>
    </w:p>
    <w:p w:rsidR="00E87904" w:rsidRDefault="00E87904">
      <w:pPr>
        <w:pStyle w:val="ConsPlusTitle"/>
        <w:jc w:val="center"/>
      </w:pPr>
      <w:r>
        <w:t>продуктов по приемам пищи для организации питания детей</w:t>
      </w:r>
    </w:p>
    <w:p w:rsidR="00E87904" w:rsidRDefault="00E87904">
      <w:pPr>
        <w:pStyle w:val="ConsPlusTitle"/>
        <w:jc w:val="center"/>
      </w:pPr>
      <w:r>
        <w:t>в дошкольных образовательных организациях и организациях</w:t>
      </w:r>
    </w:p>
    <w:p w:rsidR="00E87904" w:rsidRDefault="00E87904">
      <w:pPr>
        <w:pStyle w:val="ConsPlusTitle"/>
        <w:jc w:val="center"/>
      </w:pPr>
      <w:proofErr w:type="gramStart"/>
      <w:r>
        <w:t>по уходу и присмотру за детьми до 7-ми лет (в брутто г,</w:t>
      </w:r>
      <w:proofErr w:type="gramEnd"/>
    </w:p>
    <w:p w:rsidR="00E87904" w:rsidRDefault="00E87904">
      <w:pPr>
        <w:pStyle w:val="ConsPlusTitle"/>
        <w:jc w:val="center"/>
      </w:pPr>
      <w:r>
        <w:t>мл, шт. на 1 ребенка в сутки)</w:t>
      </w:r>
    </w:p>
    <w:p w:rsidR="00E87904" w:rsidRDefault="00E87904">
      <w:pPr>
        <w:pStyle w:val="ConsPlusNormal"/>
        <w:jc w:val="both"/>
      </w:pPr>
    </w:p>
    <w:p w:rsidR="00E87904" w:rsidRDefault="00E87904">
      <w:pPr>
        <w:sectPr w:rsidR="00E87904" w:rsidSect="00E87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E87904">
        <w:tc>
          <w:tcPr>
            <w:tcW w:w="454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87904">
        <w:tc>
          <w:tcPr>
            <w:tcW w:w="454" w:type="dxa"/>
            <w:vMerge/>
          </w:tcPr>
          <w:p w:rsidR="00E87904" w:rsidRDefault="00E87904"/>
        </w:tc>
        <w:tc>
          <w:tcPr>
            <w:tcW w:w="2665" w:type="dxa"/>
            <w:vMerge/>
          </w:tcPr>
          <w:p w:rsidR="00E87904" w:rsidRDefault="00E87904"/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808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6,4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Мясо бескостное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60,5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Птица (куры, цыплята-бройлеры, индейка - потрошеная 1 кат)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Яйцо (шт.)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0,6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215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234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114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43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0,6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Кофейный напиток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Крахмал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</w:tr>
    </w:tbl>
    <w:p w:rsidR="00E87904" w:rsidRDefault="00E87904">
      <w:pPr>
        <w:sectPr w:rsidR="00E879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Примерные наборы</w:t>
      </w:r>
    </w:p>
    <w:p w:rsidR="00E87904" w:rsidRDefault="00E87904">
      <w:pPr>
        <w:pStyle w:val="ConsPlusTitle"/>
        <w:jc w:val="center"/>
      </w:pPr>
      <w:r>
        <w:t>продуктов по приемам пищи для организации питания детей</w:t>
      </w:r>
    </w:p>
    <w:p w:rsidR="00E87904" w:rsidRDefault="00E87904">
      <w:pPr>
        <w:pStyle w:val="ConsPlusTitle"/>
        <w:jc w:val="center"/>
      </w:pPr>
      <w:r>
        <w:t>в дошкольных образовательных организациях и организациях</w:t>
      </w:r>
    </w:p>
    <w:p w:rsidR="00E87904" w:rsidRDefault="00E87904">
      <w:pPr>
        <w:pStyle w:val="ConsPlusTitle"/>
        <w:jc w:val="center"/>
      </w:pPr>
      <w:proofErr w:type="gramStart"/>
      <w:r>
        <w:t>по уходу и присмотру за детьми до 7-ми лет (в нетто г,</w:t>
      </w:r>
      <w:proofErr w:type="gramEnd"/>
    </w:p>
    <w:p w:rsidR="00E87904" w:rsidRDefault="00E87904">
      <w:pPr>
        <w:pStyle w:val="ConsPlusTitle"/>
        <w:jc w:val="center"/>
      </w:pPr>
      <w:r>
        <w:t>мл на 1 ребенка в сутки)</w:t>
      </w:r>
    </w:p>
    <w:p w:rsidR="00E87904" w:rsidRDefault="00E879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E87904">
        <w:tc>
          <w:tcPr>
            <w:tcW w:w="454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87904">
        <w:tc>
          <w:tcPr>
            <w:tcW w:w="454" w:type="dxa"/>
            <w:vMerge/>
          </w:tcPr>
          <w:p w:rsidR="00E87904" w:rsidRDefault="00E87904"/>
        </w:tc>
        <w:tc>
          <w:tcPr>
            <w:tcW w:w="2665" w:type="dxa"/>
            <w:vMerge/>
          </w:tcPr>
          <w:p w:rsidR="00E87904" w:rsidRDefault="00E87904"/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808" w:type="dxa"/>
          </w:tcPr>
          <w:p w:rsidR="00E87904" w:rsidRDefault="00E87904">
            <w:pPr>
              <w:pStyle w:val="ConsPlusNormal"/>
              <w:jc w:val="center"/>
            </w:pPr>
            <w:r>
              <w:t>3 - 7 л.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Мясо бескостное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Птица (куры, цыплята-бройлеры, индейка-потрошенная, 1 кат)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6,9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Яйцо (г)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Картофель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43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0,6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Кофейный напиток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47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Крахмал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</w:tr>
      <w:tr w:rsidR="00E87904">
        <w:tc>
          <w:tcPr>
            <w:tcW w:w="454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</w:tr>
    </w:tbl>
    <w:p w:rsidR="00E87904" w:rsidRDefault="00E87904">
      <w:pPr>
        <w:sectPr w:rsidR="00E879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Примерные наборы</w:t>
      </w:r>
    </w:p>
    <w:p w:rsidR="00E87904" w:rsidRDefault="00E87904">
      <w:pPr>
        <w:pStyle w:val="ConsPlusTitle"/>
        <w:jc w:val="center"/>
      </w:pPr>
      <w:r>
        <w:t>продуктов по приемам пищи для организации питания</w:t>
      </w:r>
    </w:p>
    <w:p w:rsidR="00E87904" w:rsidRDefault="00E87904">
      <w:pPr>
        <w:pStyle w:val="ConsPlusTitle"/>
        <w:jc w:val="center"/>
      </w:pPr>
      <w:r>
        <w:t>детей в общеобразовательных организациях и организациях</w:t>
      </w:r>
    </w:p>
    <w:p w:rsidR="00E87904" w:rsidRDefault="00E87904">
      <w:pPr>
        <w:pStyle w:val="ConsPlusTitle"/>
        <w:jc w:val="center"/>
      </w:pPr>
      <w:proofErr w:type="gramStart"/>
      <w:r>
        <w:t>начального профессионального образования (в брутто г,</w:t>
      </w:r>
      <w:proofErr w:type="gramEnd"/>
    </w:p>
    <w:p w:rsidR="00E87904" w:rsidRDefault="00E87904">
      <w:pPr>
        <w:pStyle w:val="ConsPlusTitle"/>
        <w:jc w:val="center"/>
      </w:pPr>
      <w:r>
        <w:t>мл, шт. на 1 ребенка/подростка в сутки)</w:t>
      </w:r>
    </w:p>
    <w:p w:rsidR="00E87904" w:rsidRDefault="00E879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E87904">
        <w:tc>
          <w:tcPr>
            <w:tcW w:w="454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87904">
        <w:tc>
          <w:tcPr>
            <w:tcW w:w="454" w:type="dxa"/>
            <w:vMerge/>
          </w:tcPr>
          <w:p w:rsidR="00E87904" w:rsidRDefault="00E87904"/>
        </w:tc>
        <w:tc>
          <w:tcPr>
            <w:tcW w:w="2665" w:type="dxa"/>
            <w:vMerge/>
          </w:tcPr>
          <w:p w:rsidR="00E87904" w:rsidRDefault="00E87904"/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808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 xml:space="preserve">3) картофель: с 31.12 </w:t>
            </w:r>
            <w:r>
              <w:lastRenderedPageBreak/>
              <w:t>по 28.02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</w:pP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313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86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Молоко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Яйцо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</w:tr>
    </w:tbl>
    <w:p w:rsidR="00E87904" w:rsidRDefault="00E87904">
      <w:pPr>
        <w:sectPr w:rsidR="00E879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1"/>
      </w:pPr>
      <w:r>
        <w:t>Примерные наборы</w:t>
      </w:r>
    </w:p>
    <w:p w:rsidR="00E87904" w:rsidRDefault="00E87904">
      <w:pPr>
        <w:pStyle w:val="ConsPlusTitle"/>
        <w:jc w:val="center"/>
      </w:pPr>
      <w:r>
        <w:t>продуктов по приемам пищи для организации питания</w:t>
      </w:r>
    </w:p>
    <w:p w:rsidR="00E87904" w:rsidRDefault="00E87904">
      <w:pPr>
        <w:pStyle w:val="ConsPlusTitle"/>
        <w:jc w:val="center"/>
      </w:pPr>
      <w:r>
        <w:t>детей в общеобразовательных организациях и организациях</w:t>
      </w:r>
    </w:p>
    <w:p w:rsidR="00E87904" w:rsidRDefault="00E87904">
      <w:pPr>
        <w:pStyle w:val="ConsPlusTitle"/>
        <w:jc w:val="center"/>
      </w:pPr>
      <w:proofErr w:type="gramStart"/>
      <w:r>
        <w:t>начального профессионального образования (в нетто г,</w:t>
      </w:r>
      <w:proofErr w:type="gramEnd"/>
    </w:p>
    <w:p w:rsidR="00E87904" w:rsidRDefault="00E87904">
      <w:pPr>
        <w:pStyle w:val="ConsPlusTitle"/>
        <w:jc w:val="center"/>
      </w:pPr>
      <w:r>
        <w:t>мл, на 1 ребенка/подростка в сутки)</w:t>
      </w:r>
    </w:p>
    <w:p w:rsidR="00E87904" w:rsidRDefault="00E879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E87904">
        <w:tc>
          <w:tcPr>
            <w:tcW w:w="454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E87904" w:rsidRDefault="00E8790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E87904" w:rsidRDefault="00E87904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87904">
        <w:tc>
          <w:tcPr>
            <w:tcW w:w="454" w:type="dxa"/>
            <w:vMerge/>
          </w:tcPr>
          <w:p w:rsidR="00E87904" w:rsidRDefault="00E87904"/>
        </w:tc>
        <w:tc>
          <w:tcPr>
            <w:tcW w:w="2665" w:type="dxa"/>
            <w:vMerge/>
          </w:tcPr>
          <w:p w:rsidR="00E87904" w:rsidRDefault="00E87904"/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 л.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E87904" w:rsidRDefault="00E8790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808" w:type="dxa"/>
          </w:tcPr>
          <w:p w:rsidR="00E87904" w:rsidRDefault="00E87904">
            <w:pPr>
              <w:pStyle w:val="ConsPlusNormal"/>
              <w:jc w:val="center"/>
            </w:pPr>
            <w:r>
              <w:t>11 - 18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Картофель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187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53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77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19,6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Молоко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11,8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18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Яйцо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15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0,4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1,2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</w:tr>
      <w:tr w:rsidR="00E87904">
        <w:tc>
          <w:tcPr>
            <w:tcW w:w="454" w:type="dxa"/>
            <w:vAlign w:val="bottom"/>
          </w:tcPr>
          <w:p w:rsidR="00E87904" w:rsidRDefault="00E8790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</w:tcPr>
          <w:p w:rsidR="00E87904" w:rsidRDefault="00E8790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:rsidR="00E87904" w:rsidRDefault="00E87904">
            <w:pPr>
              <w:pStyle w:val="ConsPlusNormal"/>
              <w:jc w:val="center"/>
            </w:pPr>
            <w:r>
              <w:t>7</w:t>
            </w:r>
          </w:p>
        </w:tc>
      </w:tr>
    </w:tbl>
    <w:p w:rsidR="00E87904" w:rsidRDefault="00E87904">
      <w:pPr>
        <w:sectPr w:rsidR="00E879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right"/>
        <w:outlineLvl w:val="0"/>
      </w:pPr>
      <w:r>
        <w:t>Приложение 2</w:t>
      </w:r>
    </w:p>
    <w:p w:rsidR="00E87904" w:rsidRDefault="00E87904">
      <w:pPr>
        <w:pStyle w:val="ConsPlusNormal"/>
        <w:jc w:val="right"/>
      </w:pPr>
      <w:r>
        <w:t>к МР 2.4.5.0131-18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center"/>
      </w:pPr>
      <w:bookmarkStart w:id="3" w:name="P2180"/>
      <w:bookmarkEnd w:id="3"/>
      <w:r>
        <w:t>Анкета</w:t>
      </w:r>
    </w:p>
    <w:p w:rsidR="00E87904" w:rsidRDefault="00E87904">
      <w:pPr>
        <w:pStyle w:val="ConsPlusNormal"/>
        <w:jc w:val="center"/>
      </w:pPr>
      <w:r>
        <w:t>оценки структуры фактической двигательной</w:t>
      </w:r>
    </w:p>
    <w:p w:rsidR="00E87904" w:rsidRDefault="00E87904">
      <w:pPr>
        <w:pStyle w:val="ConsPlusNormal"/>
        <w:jc w:val="center"/>
      </w:pPr>
      <w:r>
        <w:t>активности ребенка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 xml:space="preserve">Анкетирование проводится с целью изучения фактической двигательной активности школьников, направлено на определение </w:t>
      </w:r>
      <w:proofErr w:type="spellStart"/>
      <w:r>
        <w:t>средне-суточныхэнерготрат</w:t>
      </w:r>
      <w:proofErr w:type="spellEnd"/>
      <w:r>
        <w:t>.</w:t>
      </w:r>
    </w:p>
    <w:p w:rsidR="00E87904" w:rsidRDefault="00E879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90"/>
      </w:tblGrid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190" w:type="dxa"/>
          </w:tcPr>
          <w:p w:rsidR="00E87904" w:rsidRDefault="00E87904">
            <w:pPr>
              <w:pStyle w:val="ConsPlusNormal"/>
              <w:jc w:val="center"/>
            </w:pPr>
            <w:r>
              <w:t>Время, часы</w:t>
            </w:r>
          </w:p>
        </w:tc>
      </w:tr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both"/>
            </w:pPr>
            <w:r>
              <w:t>Продолжительность сна</w:t>
            </w:r>
          </w:p>
        </w:tc>
        <w:tc>
          <w:tcPr>
            <w:tcW w:w="1190" w:type="dxa"/>
          </w:tcPr>
          <w:p w:rsidR="00E87904" w:rsidRDefault="00E87904">
            <w:pPr>
              <w:pStyle w:val="ConsPlusNormal"/>
            </w:pPr>
          </w:p>
        </w:tc>
      </w:tr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both"/>
            </w:pPr>
            <w:r>
              <w:t>Время, затраченное на выполнение уроков, просмотр телевизора, работу с компьютером, телефоном и пр.</w:t>
            </w:r>
          </w:p>
        </w:tc>
        <w:tc>
          <w:tcPr>
            <w:tcW w:w="1190" w:type="dxa"/>
          </w:tcPr>
          <w:p w:rsidR="00E87904" w:rsidRDefault="00E87904">
            <w:pPr>
              <w:pStyle w:val="ConsPlusNormal"/>
            </w:pPr>
          </w:p>
        </w:tc>
      </w:tr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both"/>
            </w:pPr>
            <w:r>
              <w:t>Время, затраченное на прогулки, выполнение работ легкой степени интенсивности, с преимущественно умственным компонентом и пр.</w:t>
            </w:r>
          </w:p>
        </w:tc>
        <w:tc>
          <w:tcPr>
            <w:tcW w:w="1190" w:type="dxa"/>
          </w:tcPr>
          <w:p w:rsidR="00E87904" w:rsidRDefault="00E87904">
            <w:pPr>
              <w:pStyle w:val="ConsPlusNormal"/>
            </w:pPr>
          </w:p>
        </w:tc>
      </w:tr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both"/>
            </w:pPr>
            <w:r>
              <w:t>Время, затраченное на выполнение работ средней интенсивности, подвижные игры, катание на лыжах, велосипеде, занятия в спортивных секциях и пр.</w:t>
            </w:r>
          </w:p>
        </w:tc>
        <w:tc>
          <w:tcPr>
            <w:tcW w:w="1190" w:type="dxa"/>
          </w:tcPr>
          <w:p w:rsidR="00E87904" w:rsidRDefault="00E87904">
            <w:pPr>
              <w:pStyle w:val="ConsPlusNormal"/>
            </w:pPr>
          </w:p>
        </w:tc>
      </w:tr>
      <w:tr w:rsidR="00E87904">
        <w:tc>
          <w:tcPr>
            <w:tcW w:w="7880" w:type="dxa"/>
          </w:tcPr>
          <w:p w:rsidR="00E87904" w:rsidRDefault="00E87904">
            <w:pPr>
              <w:pStyle w:val="ConsPlusNormal"/>
              <w:jc w:val="both"/>
            </w:pPr>
            <w:proofErr w:type="gramStart"/>
            <w:r>
              <w:t>Время, затраченное на выполнение работ высокой интенсивности, бег, занятия в футбол, волейбол, хоккей, баскетбол, плавание, танцы и пр.</w:t>
            </w:r>
            <w:proofErr w:type="gramEnd"/>
          </w:p>
        </w:tc>
        <w:tc>
          <w:tcPr>
            <w:tcW w:w="1190" w:type="dxa"/>
          </w:tcPr>
          <w:p w:rsidR="00E87904" w:rsidRDefault="00E87904">
            <w:pPr>
              <w:pStyle w:val="ConsPlusNormal"/>
            </w:pPr>
          </w:p>
        </w:tc>
      </w:tr>
    </w:tbl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right"/>
        <w:outlineLvl w:val="0"/>
      </w:pPr>
      <w:r>
        <w:t>Приложение 3</w:t>
      </w:r>
    </w:p>
    <w:p w:rsidR="00E87904" w:rsidRDefault="00E87904">
      <w:pPr>
        <w:pStyle w:val="ConsPlusNormal"/>
        <w:jc w:val="right"/>
      </w:pPr>
      <w:r>
        <w:t>к МР 2.4.5.0131-18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</w:pPr>
      <w:bookmarkStart w:id="4" w:name="P2206"/>
      <w:bookmarkEnd w:id="4"/>
      <w:r>
        <w:t>ПРОГРАММА</w:t>
      </w:r>
    </w:p>
    <w:p w:rsidR="00E87904" w:rsidRDefault="00E87904">
      <w:pPr>
        <w:pStyle w:val="ConsPlusTitle"/>
        <w:jc w:val="center"/>
      </w:pPr>
      <w:r>
        <w:t>СБОРА ИНФОРМАЦИИ ОБ ОРГАНИЗАЦИИ ПИТАНИЯ</w:t>
      </w:r>
    </w:p>
    <w:p w:rsidR="00E87904" w:rsidRDefault="00E87904">
      <w:pPr>
        <w:pStyle w:val="ConsPlusTitle"/>
        <w:jc w:val="center"/>
      </w:pPr>
      <w:r>
        <w:t>В ОБЩЕОБРАЗОВАТЕЛЬНЫХ ОРГАНИЗАЦИЯХ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Программа сбора информации в ходе реализации мониторинговых задач на уровне муниципального образования, субъекта Федерации, Федерального округа должна включать обязательные атрибуты, позволяющие в дальнейшем формализовать информацию и провести ее качественную оценку. Для этого необходимо учитывать следующие данные: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1. Федеральный округ;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 Субъект Российской Федерации;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3. Муниципальное образование;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4. Округ (район) внутри муниципального образования;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5. Краткое наименование общеобразовательной организации;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6. ИНН общеобразовательной организации;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7. Количество детей по списку обучающихся,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8. Количество детей с отказом от питания,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9. Количество детей на домашнем обучении,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10. Размер социальной поддержки (</w:t>
      </w:r>
      <w:proofErr w:type="spellStart"/>
      <w:r>
        <w:t>руб</w:t>
      </w:r>
      <w:proofErr w:type="spellEnd"/>
      <w:r>
        <w:t>/чел/день),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11. Средняя стоимость завтрака,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12. Средняя стоимость обеда,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13. Средняя стоимость полдника,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14. Среднее фактическое количество </w:t>
      </w:r>
      <w:proofErr w:type="gramStart"/>
      <w:r>
        <w:t>обучающихся</w:t>
      </w:r>
      <w:proofErr w:type="gramEnd"/>
      <w:r>
        <w:t xml:space="preserve"> за отчетный период посещавших общеобразовательную организацию,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15. Количество детей получающих социальную поддержку,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lastRenderedPageBreak/>
        <w:t xml:space="preserve">16. Среднее фактическое количество </w:t>
      </w:r>
      <w:proofErr w:type="gramStart"/>
      <w:r>
        <w:t>обучающихся</w:t>
      </w:r>
      <w:proofErr w:type="gramEnd"/>
      <w:r>
        <w:t xml:space="preserve"> получающих в общеобразовательной организации ежедневно горячие завтраки,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17. Среднее фактическое количество </w:t>
      </w:r>
      <w:proofErr w:type="gramStart"/>
      <w:r>
        <w:t>обучающихся</w:t>
      </w:r>
      <w:proofErr w:type="gramEnd"/>
      <w:r>
        <w:t xml:space="preserve"> получающих в общеобразовательной организации ежедневно обеды,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18. Среднее фактическое количество </w:t>
      </w:r>
      <w:proofErr w:type="gramStart"/>
      <w:r>
        <w:t>обучающихся</w:t>
      </w:r>
      <w:proofErr w:type="gramEnd"/>
      <w:r>
        <w:t xml:space="preserve"> получающих в общеобразовательной организации ежедневно горячие завтраки и обеды,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19. Среднее фактическое количество </w:t>
      </w:r>
      <w:proofErr w:type="gramStart"/>
      <w:r>
        <w:t>обучающихся</w:t>
      </w:r>
      <w:proofErr w:type="gramEnd"/>
      <w:r>
        <w:t xml:space="preserve"> получающих в общеобразовательной организации ежедневно горячие завтраки, обеды и полдники,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20. Количество школьников, посещающих группу продленного дня,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21. Количество школьников, обучающихся на подвозе,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22. Количество школьников, обучающихся на подвозе - всего,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23. Количество школьников, обучающихся на подвозе и посещающих группу продленного дня, в том числе по ступеням обучения (1 - 4 классы, 5 - 9 классы, 10 - 11 классы);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24. Количество фактическое количество обучающихся школьников, обучающихся на подвозе и проживающих в пришкольном интернате, в том числе по ступеням обучения (1 - 4 классы, 5 - 9 классы, 10 - 11 классы).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right"/>
        <w:outlineLvl w:val="0"/>
      </w:pPr>
      <w:r>
        <w:t>Приложение 4</w:t>
      </w:r>
    </w:p>
    <w:p w:rsidR="00E87904" w:rsidRDefault="00E87904">
      <w:pPr>
        <w:pStyle w:val="ConsPlusNormal"/>
        <w:jc w:val="right"/>
      </w:pPr>
      <w:r>
        <w:t>к МР 2.4.5.0131-18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</w:pPr>
      <w:bookmarkStart w:id="5" w:name="P2243"/>
      <w:bookmarkEnd w:id="5"/>
      <w:r>
        <w:t>ПОКАЗАТЕЛИ</w:t>
      </w:r>
    </w:p>
    <w:p w:rsidR="00E87904" w:rsidRDefault="00E87904">
      <w:pPr>
        <w:pStyle w:val="ConsPlusTitle"/>
        <w:jc w:val="center"/>
      </w:pPr>
      <w:r>
        <w:t>КОНТРОЛЬНО-НАДЗОРНЫХ МЕРОПРИЯТИЙ ТЕРРИТОРИАЛЬНЫХ</w:t>
      </w:r>
    </w:p>
    <w:p w:rsidR="00E87904" w:rsidRDefault="00E87904">
      <w:pPr>
        <w:pStyle w:val="ConsPlusTitle"/>
        <w:jc w:val="center"/>
      </w:pPr>
      <w:r>
        <w:t>ОРГАНОВ РОСПОТРЕБНАДЗОРА ЗА ОРГАНИЗАЦИЕЙ ПИТАНИЯ</w:t>
      </w:r>
    </w:p>
    <w:p w:rsidR="00E87904" w:rsidRDefault="00E87904">
      <w:pPr>
        <w:pStyle w:val="ConsPlusTitle"/>
        <w:jc w:val="center"/>
      </w:pPr>
      <w:r>
        <w:t>В ОБЩЕОБРАЗОВАТЕЛЬНЫХ ОРГАНИЗАЦИЯХ, ДОШКОЛЬНЫХ</w:t>
      </w:r>
    </w:p>
    <w:p w:rsidR="00E87904" w:rsidRDefault="00E87904">
      <w:pPr>
        <w:pStyle w:val="ConsPlusTitle"/>
        <w:jc w:val="center"/>
      </w:pPr>
      <w:r>
        <w:lastRenderedPageBreak/>
        <w:t xml:space="preserve">ОБРАЗОВАТЕЛЬНЫХ </w:t>
      </w:r>
      <w:proofErr w:type="gramStart"/>
      <w:r>
        <w:t>ОРГАНИЗАЦИЯХ</w:t>
      </w:r>
      <w:proofErr w:type="gramEnd"/>
      <w:r>
        <w:t>, ОРГАНИЗАЦИЙ ОТДЫХА</w:t>
      </w:r>
    </w:p>
    <w:p w:rsidR="00E87904" w:rsidRDefault="00E87904">
      <w:pPr>
        <w:pStyle w:val="ConsPlusTitle"/>
        <w:jc w:val="center"/>
      </w:pPr>
      <w:r>
        <w:t>И ОЗДОРОВЛЕНИЯ, ПОДЛЕЖАЩИЕ УЧЕТУ И АНАЛИЗУ В СИСТЕМЕ</w:t>
      </w:r>
    </w:p>
    <w:p w:rsidR="00E87904" w:rsidRDefault="00E87904">
      <w:pPr>
        <w:pStyle w:val="ConsPlusTitle"/>
        <w:jc w:val="center"/>
      </w:pPr>
      <w:r>
        <w:t>МОНИТОРИНГА ПИТАНИЯ (ПО РЕЗУЛЬТАТАМ ПРОВЕРОК)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>1. Выполнение физиологических норм питания по основным группам продуктов в гр. (среднесуточное за цикл) и в процентах в сравнении с рекомендуемым количеством (</w:t>
      </w:r>
      <w:hyperlink w:anchor="P98" w:history="1">
        <w:r>
          <w:rPr>
            <w:color w:val="0000FF"/>
          </w:rPr>
          <w:t>приложение 1</w:t>
        </w:r>
      </w:hyperlink>
      <w:r>
        <w:t xml:space="preserve"> к методическим рекомендациям) при контроле: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за дошкольными организациями - по возрастным группам от 1 - 3 года и 3 - 7 лет;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за организацией питания в общеобразовательных организациях и организациях отдыха и оздоровления детей с дневным пребыванием - по возрастным группам 7 - 10 лет и 11 - 18 лет;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- за стационарными организациями отдыха и оздоровления детей и подростков - по возрастным группам 7 - 10 лет и 11 лет и старше.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2. Наличие замечаний к сопроводительной документации (количество за проверку).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3. Наличие замечаний к условиям хранения и срокам реализации (количество за проверку).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4. Наличие в реализации запрещенных продуктов и блюд.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5. Результаты лабораторного контроля по исследованному сырью на соответствие требованиям технических регламентов Таможенного союза и Евразийского экономического союза (по микробиологическим и санитарно-химическим показателям)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>], оценки качества и безопасности готовых блюд (по микробиологическим показателям, калорийности и содержания витамина C).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6. Количество выявленных в ходе проверки нарушений действующих санитарных норм и правил в части организации питания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7. Количество выявленных в ходе проверки нарушений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3" w:history="1">
        <w:r>
          <w:rPr>
            <w:color w:val="0000FF"/>
          </w:rPr>
          <w:t>4</w:t>
        </w:r>
      </w:hyperlink>
      <w:r>
        <w:t xml:space="preserve">, </w:t>
      </w:r>
      <w:hyperlink w:anchor="P2274" w:history="1">
        <w:r>
          <w:rPr>
            <w:color w:val="0000FF"/>
          </w:rPr>
          <w:t>5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7" w:history="1">
        <w:r>
          <w:rPr>
            <w:color w:val="0000FF"/>
          </w:rPr>
          <w:t>8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 xml:space="preserve">, </w:t>
      </w:r>
      <w:hyperlink w:anchor="P2280" w:history="1">
        <w:r>
          <w:rPr>
            <w:color w:val="0000FF"/>
          </w:rPr>
          <w:t>11</w:t>
        </w:r>
      </w:hyperlink>
      <w:r>
        <w:t xml:space="preserve">, </w:t>
      </w:r>
      <w:hyperlink w:anchor="P2281" w:history="1">
        <w:r>
          <w:rPr>
            <w:color w:val="0000FF"/>
          </w:rPr>
          <w:t>12</w:t>
        </w:r>
      </w:hyperlink>
      <w:r>
        <w:t>].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>8. Количество составленных протоколов за выявленные в ходе проверки нарушения действующих санитарных норм и правил в части организации питания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lastRenderedPageBreak/>
        <w:t>9. Количество составленных протоколов за выявленные в ходе проверки нарушения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3" w:history="1">
        <w:r>
          <w:rPr>
            <w:color w:val="0000FF"/>
          </w:rPr>
          <w:t>4</w:t>
        </w:r>
      </w:hyperlink>
      <w:r>
        <w:t xml:space="preserve">, </w:t>
      </w:r>
      <w:hyperlink w:anchor="P2274" w:history="1">
        <w:r>
          <w:rPr>
            <w:color w:val="0000FF"/>
          </w:rPr>
          <w:t>5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7" w:history="1">
        <w:r>
          <w:rPr>
            <w:color w:val="0000FF"/>
          </w:rPr>
          <w:t>8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 xml:space="preserve">, </w:t>
      </w:r>
      <w:hyperlink w:anchor="P2280" w:history="1">
        <w:r>
          <w:rPr>
            <w:color w:val="0000FF"/>
          </w:rPr>
          <w:t>11</w:t>
        </w:r>
      </w:hyperlink>
      <w:r>
        <w:t xml:space="preserve">, </w:t>
      </w:r>
      <w:hyperlink w:anchor="P2281" w:history="1">
        <w:r>
          <w:rPr>
            <w:color w:val="0000FF"/>
          </w:rPr>
          <w:t>12</w:t>
        </w:r>
      </w:hyperlink>
      <w:r>
        <w:t>].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Title"/>
        <w:jc w:val="center"/>
        <w:outlineLvl w:val="0"/>
      </w:pPr>
      <w:r>
        <w:t>СПИСОК НОРМАТИВНЫХ ДОКУМЕНТОВ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2.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6" w:name="P2272"/>
      <w:bookmarkEnd w:id="6"/>
      <w:r>
        <w:t xml:space="preserve">3. Технический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7" w:name="P2273"/>
      <w:bookmarkEnd w:id="7"/>
      <w:r>
        <w:t xml:space="preserve">4. Технический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Таможенного союза "Пищевая продукция в части ее маркировки" (</w:t>
      </w:r>
      <w:proofErr w:type="gramStart"/>
      <w:r>
        <w:t>ТР</w:t>
      </w:r>
      <w:proofErr w:type="gramEnd"/>
      <w:r>
        <w:t xml:space="preserve"> ТС 022/2011).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8" w:name="P2274"/>
      <w:bookmarkEnd w:id="8"/>
      <w:r>
        <w:t xml:space="preserve">5. Технический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зерна" (</w:t>
      </w:r>
      <w:proofErr w:type="gramStart"/>
      <w:r>
        <w:t>ТР</w:t>
      </w:r>
      <w:proofErr w:type="gramEnd"/>
      <w:r>
        <w:t xml:space="preserve"> ТС 015/2011).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9" w:name="P2275"/>
      <w:bookmarkEnd w:id="9"/>
      <w:r>
        <w:t xml:space="preserve">6. Технический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0" w:name="P2276"/>
      <w:bookmarkEnd w:id="10"/>
      <w:r>
        <w:t xml:space="preserve">7. Технический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</w:t>
      </w:r>
      <w:proofErr w:type="gramStart"/>
      <w:r>
        <w:t>ТР</w:t>
      </w:r>
      <w:proofErr w:type="gramEnd"/>
      <w:r>
        <w:t xml:space="preserve"> ТС 024/2011).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1" w:name="P2277"/>
      <w:bookmarkEnd w:id="11"/>
      <w:r>
        <w:t xml:space="preserve">8. Технический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отдельных видов специализированной пищевой продукции" (</w:t>
      </w:r>
      <w:proofErr w:type="gramStart"/>
      <w:r>
        <w:t>ТР</w:t>
      </w:r>
      <w:proofErr w:type="gramEnd"/>
      <w:r>
        <w:t xml:space="preserve"> ТС 027/2012).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2" w:name="P2278"/>
      <w:bookmarkEnd w:id="12"/>
      <w:r>
        <w:t xml:space="preserve">9. Технический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 безопасности пищевых добавок" (</w:t>
      </w:r>
      <w:proofErr w:type="gramStart"/>
      <w:r>
        <w:t>ТР</w:t>
      </w:r>
      <w:proofErr w:type="gramEnd"/>
      <w:r>
        <w:t xml:space="preserve"> ТС 029/2012).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3" w:name="P2279"/>
      <w:bookmarkEnd w:id="13"/>
      <w:r>
        <w:t xml:space="preserve">10. Технический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молока и молочной продукции" (</w:t>
      </w:r>
      <w:proofErr w:type="gramStart"/>
      <w:r>
        <w:t>ТР</w:t>
      </w:r>
      <w:proofErr w:type="gramEnd"/>
      <w:r>
        <w:t xml:space="preserve"> ТС 033/2013).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4" w:name="P2280"/>
      <w:bookmarkEnd w:id="14"/>
      <w:r>
        <w:t xml:space="preserve">11.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мяса и мясной продукции" (</w:t>
      </w:r>
      <w:proofErr w:type="gramStart"/>
      <w:r>
        <w:t>ТР</w:t>
      </w:r>
      <w:proofErr w:type="gramEnd"/>
      <w:r>
        <w:t xml:space="preserve"> ТС 034/2013).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5" w:name="P2281"/>
      <w:bookmarkEnd w:id="15"/>
      <w:r>
        <w:t xml:space="preserve">12.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</w:t>
      </w:r>
      <w:r>
        <w:lastRenderedPageBreak/>
        <w:t>безопасности рыбной продукции" (</w:t>
      </w:r>
      <w:proofErr w:type="gramStart"/>
      <w:r>
        <w:t>ТР</w:t>
      </w:r>
      <w:proofErr w:type="gramEnd"/>
      <w:r>
        <w:t xml:space="preserve"> ЕАЭС 040/2016).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6" w:name="P2282"/>
      <w:bookmarkEnd w:id="16"/>
      <w:r>
        <w:t xml:space="preserve">13. </w:t>
      </w:r>
      <w:hyperlink r:id="rId1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E87904" w:rsidRDefault="00E87904">
      <w:pPr>
        <w:pStyle w:val="ConsPlusNormal"/>
        <w:spacing w:before="280"/>
        <w:ind w:firstLine="540"/>
        <w:jc w:val="both"/>
      </w:pPr>
      <w:r>
        <w:t xml:space="preserve">14. </w:t>
      </w:r>
      <w:hyperlink r:id="rId1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7" w:name="P2284"/>
      <w:bookmarkEnd w:id="17"/>
      <w:r>
        <w:t xml:space="preserve">15. </w:t>
      </w:r>
      <w:hyperlink r:id="rId1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8" w:name="P2285"/>
      <w:bookmarkEnd w:id="18"/>
      <w:r>
        <w:t xml:space="preserve">16. </w:t>
      </w:r>
      <w:hyperlink r:id="rId20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E87904" w:rsidRDefault="00E87904">
      <w:pPr>
        <w:pStyle w:val="ConsPlusNormal"/>
        <w:spacing w:before="280"/>
        <w:ind w:firstLine="540"/>
        <w:jc w:val="both"/>
      </w:pPr>
      <w:bookmarkStart w:id="19" w:name="P2286"/>
      <w:bookmarkEnd w:id="19"/>
      <w:r>
        <w:t xml:space="preserve">17. </w:t>
      </w:r>
      <w:hyperlink r:id="rId21" w:history="1">
        <w:r>
          <w:rPr>
            <w:color w:val="0000FF"/>
          </w:rPr>
          <w:t>СанПиН 2.4.4.2599-10</w:t>
        </w:r>
      </w:hyperlink>
      <w: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jc w:val="both"/>
      </w:pPr>
    </w:p>
    <w:p w:rsidR="00E87904" w:rsidRDefault="00E87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6BE" w:rsidRDefault="006536BE"/>
    <w:sectPr w:rsidR="006536BE" w:rsidSect="00E879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904"/>
    <w:rsid w:val="005629C3"/>
    <w:rsid w:val="005F5C10"/>
    <w:rsid w:val="00602C76"/>
    <w:rsid w:val="006536BE"/>
    <w:rsid w:val="00DF5153"/>
    <w:rsid w:val="00E8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9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Normal">
    <w:name w:val="ConsPlusNormal"/>
    <w:rsid w:val="00E879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9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Normal">
    <w:name w:val="ConsPlusNormal"/>
    <w:rsid w:val="00E879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9A7987D0F87BDF915A01FCBFCAF3054D298EFA1CE183C4A6469DEAC633091C54FE4C92F127AD1A05BC0FD4ECD0DB9EF2DBC1CA7210E47vAJ9L" TargetMode="External"/><Relationship Id="rId13" Type="http://schemas.openxmlformats.org/officeDocument/2006/relationships/hyperlink" Target="consultantplus://offline/ref=4C49A7987D0F87BDF915A01FCBFCAF3056D591EBA3CF183C4A6469DEAC633091C54FE4C92F127AD1AA5BC0FD4ECD0DB9EF2DBC1CA7210E47vAJ9L" TargetMode="External"/><Relationship Id="rId18" Type="http://schemas.openxmlformats.org/officeDocument/2006/relationships/hyperlink" Target="consultantplus://offline/ref=4C49A7987D0F87BDF915A01FCBFCAF3054D19DE9A7CC183C4A6469DEAC633091C54FE4CA24462B94FC5D95AA149809A6EB33BEv1J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49A7987D0F87BDF915A01FCBFCAF3055D29DEDA4CC183C4A6469DEAC633091C54FE4C92F127AD1AB5BC0FD4ECD0DB9EF2DBC1CA7210E47vAJ9L" TargetMode="External"/><Relationship Id="rId7" Type="http://schemas.openxmlformats.org/officeDocument/2006/relationships/hyperlink" Target="consultantplus://offline/ref=4C49A7987D0F87BDF915A01FCBFCAF3054D79AE7A5CC183C4A6469DEAC633091C54FE4C92F127AD4A15BC0FD4ECD0DB9EF2DBC1CA7210E47vAJ9L" TargetMode="External"/><Relationship Id="rId12" Type="http://schemas.openxmlformats.org/officeDocument/2006/relationships/hyperlink" Target="consultantplus://offline/ref=4C49A7987D0F87BDF915A01FCBFCAF3056D099ECA8CF183C4A6469DEAC633091C54FE4C92F127AD1A85BC0FD4ECD0DB9EF2DBC1CA7210E47vAJ9L" TargetMode="External"/><Relationship Id="rId17" Type="http://schemas.openxmlformats.org/officeDocument/2006/relationships/hyperlink" Target="consultantplus://offline/ref=4C49A7987D0F87BDF915A01FCBFCAF3056DB9DE9A5C8183C4A6469DEAC633091C54FE4C92F127AD1AD5BC0FD4ECD0DB9EF2DBC1CA7210E47vAJ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9A7987D0F87BDF915A01FCBFCAF3055D29CEDA3C6183C4A6469DEAC633091C54FE4C92F127AD1AC5BC0FD4ECD0DB9EF2DBC1CA7210E47vAJ9L" TargetMode="External"/><Relationship Id="rId20" Type="http://schemas.openxmlformats.org/officeDocument/2006/relationships/hyperlink" Target="consultantplus://offline/ref=4C49A7987D0F87BDF915A01FCBFCAF3055D29DEDA4CF183C4A6469DEAC633091C54FE4C92F127AD1AB5BC0FD4ECD0DB9EF2DBC1CA7210E47vA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9A7987D0F87BDF915A01FCBFCAF3054D69FEFA5C8183C4A6469DEAC633091D74FBCC52E1464D0A04E96AC08v9J8L" TargetMode="External"/><Relationship Id="rId11" Type="http://schemas.openxmlformats.org/officeDocument/2006/relationships/hyperlink" Target="consultantplus://offline/ref=4C49A7987D0F87BDF915A01FCBFCAF3056DA9FE6A5C6183C4A6469DEAC633091C54FE4C92F127AD3A95BC0FD4ECD0DB9EF2DBC1CA7210E47vAJ9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C49A7987D0F87BDF915A01FCBFCAF3054D699ECA5C6183C4A6469DEAC633091D74FBCC52E1464D0A04E96AC08v9J8L" TargetMode="External"/><Relationship Id="rId15" Type="http://schemas.openxmlformats.org/officeDocument/2006/relationships/hyperlink" Target="consultantplus://offline/ref=4C49A7987D0F87BDF915A01FCBFCAF3056D69BECA2CB183C4A6469DEAC633091C54FE4C92F127AD1AF5BC0FD4ECD0DB9EF2DBC1CA7210E47vAJ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49A7987D0F87BDF915A01FCBFCAF3056DA98E8A4C9183C4A6469DEAC633091C54FE4C92F127AD2A15BC0FD4ECD0DB9EF2DBC1CA7210E47vAJ9L" TargetMode="External"/><Relationship Id="rId19" Type="http://schemas.openxmlformats.org/officeDocument/2006/relationships/hyperlink" Target="consultantplus://offline/ref=4C49A7987D0F87BDF915A01FCBFCAF3054D19FE6A8C6183C4A6469DEAC633091C54FE4C92F127AD1AC5BC0FD4ECD0DB9EF2DBC1CA7210E47vAJ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C49A7987D0F87BDF915A01FCBFCAF3055DB90EEA4CC183C4A6469DEAC633091C54FE4C92F127AD2AE5BC0FD4ECD0DB9EF2DBC1CA7210E47vAJ9L" TargetMode="External"/><Relationship Id="rId14" Type="http://schemas.openxmlformats.org/officeDocument/2006/relationships/hyperlink" Target="consultantplus://offline/ref=4C49A7987D0F87BDF915A01FCBFCAF3054D79BE6A6CC183C4A6469DEAC633091C54FE4C92F127AD1AB5BC0FD4ECD0DB9EF2DBC1CA7210E47vAJ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2020-09-17T09:01:00Z</dcterms:created>
  <dcterms:modified xsi:type="dcterms:W3CDTF">2020-09-17T09:02:00Z</dcterms:modified>
</cp:coreProperties>
</file>